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39" w:rsidRPr="00D24049" w:rsidRDefault="007E6A97" w:rsidP="001405C6">
      <w:pPr>
        <w:pStyle w:val="Ttulo"/>
        <w:jc w:val="center"/>
      </w:pPr>
      <w:r>
        <w:t>La Comunidad de Madrid en e</w:t>
      </w:r>
      <w:r w:rsidRPr="00D24049">
        <w:t xml:space="preserve">l </w:t>
      </w:r>
      <w:r w:rsidR="001405C6" w:rsidRPr="00D24049">
        <w:t>Barómetro</w:t>
      </w:r>
      <w:r w:rsidRPr="00D24049">
        <w:t xml:space="preserve"> Sanitario 2017</w:t>
      </w:r>
    </w:p>
    <w:p w:rsidR="00CE2C39" w:rsidRDefault="00CE2C39" w:rsidP="008F7744">
      <w:pPr>
        <w:jc w:val="both"/>
      </w:pPr>
    </w:p>
    <w:p w:rsidR="00CE2C39" w:rsidRDefault="008F7744" w:rsidP="007E6A97">
      <w:pPr>
        <w:ind w:firstLine="284"/>
        <w:jc w:val="both"/>
        <w:rPr>
          <w:sz w:val="22"/>
          <w:szCs w:val="22"/>
        </w:rPr>
      </w:pPr>
      <w:r>
        <w:t>Recientemente el Ministerio de Sanidad ha hecho público el Barómetro Sanitario correspondiente a marzo y diciembre de 2017. Desde la FADSP ya se ha señalado</w:t>
      </w:r>
      <w:r w:rsidRPr="00AE5BA4">
        <w:rPr>
          <w:sz w:val="22"/>
          <w:szCs w:val="22"/>
        </w:rPr>
        <w:t xml:space="preserve"> pocas mejorías en la opinión ciudadana, unas listas de espera intolerables y una población que pese a todo sigue apostando por la Sanidad Pública.</w:t>
      </w:r>
    </w:p>
    <w:p w:rsidR="00517F3D" w:rsidRDefault="00517F3D" w:rsidP="007E6A97">
      <w:pPr>
        <w:ind w:firstLine="284"/>
        <w:jc w:val="both"/>
        <w:rPr>
          <w:sz w:val="22"/>
          <w:szCs w:val="22"/>
        </w:rPr>
      </w:pPr>
    </w:p>
    <w:p w:rsidR="00517F3D" w:rsidRDefault="00517F3D" w:rsidP="007E6A97">
      <w:pPr>
        <w:ind w:firstLine="284"/>
        <w:jc w:val="both"/>
        <w:rPr>
          <w:sz w:val="22"/>
          <w:szCs w:val="22"/>
        </w:rPr>
      </w:pPr>
      <w:r>
        <w:rPr>
          <w:sz w:val="22"/>
          <w:szCs w:val="22"/>
        </w:rPr>
        <w:t xml:space="preserve">Los datos de la Comunidad de Madrid son netamente peores que los generales </w:t>
      </w:r>
      <w:r w:rsidR="00F535A5">
        <w:rPr>
          <w:sz w:val="22"/>
          <w:szCs w:val="22"/>
        </w:rPr>
        <w:t xml:space="preserve">en cuanto a las citas </w:t>
      </w:r>
      <w:r w:rsidR="0000620E">
        <w:rPr>
          <w:sz w:val="22"/>
          <w:szCs w:val="22"/>
        </w:rPr>
        <w:t xml:space="preserve">en Atención Primaria y </w:t>
      </w:r>
      <w:r w:rsidR="00F535A5">
        <w:rPr>
          <w:sz w:val="22"/>
          <w:szCs w:val="22"/>
        </w:rPr>
        <w:t xml:space="preserve"> en un menor porcentaje de quienes opinan que mejoraron las listas de espera y mayor de quienes señalan que empeoraron</w:t>
      </w:r>
      <w:r w:rsidR="00DE2916">
        <w:rPr>
          <w:sz w:val="22"/>
          <w:szCs w:val="22"/>
        </w:rPr>
        <w:t xml:space="preserve"> </w:t>
      </w:r>
      <w:r w:rsidR="0000620E">
        <w:rPr>
          <w:sz w:val="22"/>
          <w:szCs w:val="22"/>
        </w:rPr>
        <w:t>como se ve en la tabla:</w:t>
      </w:r>
    </w:p>
    <w:p w:rsidR="0000620E" w:rsidRDefault="0000620E" w:rsidP="008F7744">
      <w:pPr>
        <w:jc w:val="both"/>
        <w:rPr>
          <w:sz w:val="22"/>
          <w:szCs w:val="22"/>
        </w:rPr>
      </w:pPr>
    </w:p>
    <w:tbl>
      <w:tblPr>
        <w:tblStyle w:val="Tablaconcuadrcula"/>
        <w:tblW w:w="0" w:type="auto"/>
        <w:tblLook w:val="01E0"/>
      </w:tblPr>
      <w:tblGrid>
        <w:gridCol w:w="2881"/>
        <w:gridCol w:w="2881"/>
        <w:gridCol w:w="2882"/>
      </w:tblGrid>
      <w:tr w:rsidR="0000620E">
        <w:tc>
          <w:tcPr>
            <w:tcW w:w="2881" w:type="dxa"/>
          </w:tcPr>
          <w:p w:rsidR="0000620E" w:rsidRDefault="0000620E" w:rsidP="008F7744">
            <w:pPr>
              <w:jc w:val="both"/>
            </w:pPr>
          </w:p>
        </w:tc>
        <w:tc>
          <w:tcPr>
            <w:tcW w:w="2881" w:type="dxa"/>
          </w:tcPr>
          <w:p w:rsidR="0000620E" w:rsidRDefault="0000620E" w:rsidP="008F7744">
            <w:pPr>
              <w:jc w:val="both"/>
            </w:pPr>
          </w:p>
          <w:p w:rsidR="0000620E" w:rsidRDefault="0000620E" w:rsidP="008F7744">
            <w:pPr>
              <w:jc w:val="both"/>
            </w:pPr>
            <w:r>
              <w:t>Madrid</w:t>
            </w:r>
          </w:p>
        </w:tc>
        <w:tc>
          <w:tcPr>
            <w:tcW w:w="2882" w:type="dxa"/>
          </w:tcPr>
          <w:p w:rsidR="0000620E" w:rsidRDefault="0000620E" w:rsidP="008F7744">
            <w:pPr>
              <w:jc w:val="both"/>
            </w:pPr>
          </w:p>
          <w:p w:rsidR="0000620E" w:rsidRDefault="0000620E" w:rsidP="008F7744">
            <w:pPr>
              <w:jc w:val="both"/>
            </w:pPr>
            <w:r>
              <w:t>SNS</w:t>
            </w:r>
          </w:p>
        </w:tc>
      </w:tr>
      <w:tr w:rsidR="0000620E">
        <w:tc>
          <w:tcPr>
            <w:tcW w:w="2881" w:type="dxa"/>
          </w:tcPr>
          <w:p w:rsidR="0000620E" w:rsidRDefault="0000620E" w:rsidP="008F7744">
            <w:pPr>
              <w:jc w:val="both"/>
            </w:pPr>
          </w:p>
          <w:p w:rsidR="0000620E" w:rsidRDefault="0000620E" w:rsidP="008F7744">
            <w:pPr>
              <w:jc w:val="both"/>
            </w:pPr>
            <w:r>
              <w:t>Cita en AP en 24 hs</w:t>
            </w:r>
          </w:p>
          <w:p w:rsidR="0000620E" w:rsidRDefault="0000620E" w:rsidP="008F7744">
            <w:pPr>
              <w:jc w:val="both"/>
            </w:pPr>
            <w:r>
              <w:t>Siempre/Casi siempre</w:t>
            </w:r>
          </w:p>
        </w:tc>
        <w:tc>
          <w:tcPr>
            <w:tcW w:w="2881" w:type="dxa"/>
          </w:tcPr>
          <w:p w:rsidR="0000620E" w:rsidRDefault="0000620E" w:rsidP="008F7744">
            <w:pPr>
              <w:jc w:val="both"/>
            </w:pPr>
          </w:p>
          <w:p w:rsidR="0000620E" w:rsidRDefault="0000620E" w:rsidP="008F7744">
            <w:pPr>
              <w:jc w:val="both"/>
            </w:pPr>
            <w:r>
              <w:t>33,2%</w:t>
            </w:r>
          </w:p>
        </w:tc>
        <w:tc>
          <w:tcPr>
            <w:tcW w:w="2882" w:type="dxa"/>
          </w:tcPr>
          <w:p w:rsidR="0000620E" w:rsidRDefault="0000620E" w:rsidP="008F7744">
            <w:pPr>
              <w:jc w:val="both"/>
            </w:pPr>
          </w:p>
          <w:p w:rsidR="0000620E" w:rsidRDefault="0000620E" w:rsidP="008F7744">
            <w:pPr>
              <w:jc w:val="both"/>
            </w:pPr>
            <w:r>
              <w:t>34,5%</w:t>
            </w:r>
          </w:p>
        </w:tc>
      </w:tr>
      <w:tr w:rsidR="00F535A5">
        <w:tc>
          <w:tcPr>
            <w:tcW w:w="2881" w:type="dxa"/>
          </w:tcPr>
          <w:p w:rsidR="00F535A5" w:rsidRDefault="00F535A5" w:rsidP="008F7744">
            <w:pPr>
              <w:jc w:val="both"/>
            </w:pPr>
          </w:p>
          <w:p w:rsidR="00F535A5" w:rsidRDefault="00DE2916" w:rsidP="008F7744">
            <w:pPr>
              <w:jc w:val="both"/>
            </w:pPr>
            <w:r>
              <w:t>Mejoraron</w:t>
            </w:r>
            <w:r w:rsidR="00F535A5">
              <w:t xml:space="preserve"> la</w:t>
            </w:r>
            <w:r>
              <w:t>s</w:t>
            </w:r>
            <w:r w:rsidR="00F535A5">
              <w:t xml:space="preserve"> lista</w:t>
            </w:r>
            <w:r>
              <w:t>s</w:t>
            </w:r>
            <w:r w:rsidR="00F535A5">
              <w:t xml:space="preserve"> de espera</w:t>
            </w:r>
            <w:r>
              <w:t xml:space="preserve"> </w:t>
            </w:r>
            <w:r w:rsidR="00F535A5">
              <w:t>en el ultimo año</w:t>
            </w:r>
          </w:p>
        </w:tc>
        <w:tc>
          <w:tcPr>
            <w:tcW w:w="2881" w:type="dxa"/>
          </w:tcPr>
          <w:p w:rsidR="00F535A5" w:rsidRDefault="00F535A5" w:rsidP="008F7744">
            <w:pPr>
              <w:jc w:val="both"/>
            </w:pPr>
          </w:p>
          <w:p w:rsidR="00F535A5" w:rsidRDefault="00F535A5" w:rsidP="008F7744">
            <w:pPr>
              <w:jc w:val="both"/>
            </w:pPr>
            <w:r>
              <w:t>7,1%</w:t>
            </w:r>
          </w:p>
        </w:tc>
        <w:tc>
          <w:tcPr>
            <w:tcW w:w="2882" w:type="dxa"/>
          </w:tcPr>
          <w:p w:rsidR="00F535A5" w:rsidRDefault="00F535A5" w:rsidP="008F7744">
            <w:pPr>
              <w:jc w:val="both"/>
            </w:pPr>
          </w:p>
          <w:p w:rsidR="00F535A5" w:rsidRDefault="00F535A5" w:rsidP="008F7744">
            <w:pPr>
              <w:jc w:val="both"/>
            </w:pPr>
            <w:r>
              <w:t>7,3%</w:t>
            </w:r>
          </w:p>
        </w:tc>
      </w:tr>
      <w:tr w:rsidR="00F535A5">
        <w:tc>
          <w:tcPr>
            <w:tcW w:w="2881" w:type="dxa"/>
          </w:tcPr>
          <w:p w:rsidR="00F535A5" w:rsidRDefault="00F535A5" w:rsidP="00F535A5">
            <w:pPr>
              <w:jc w:val="both"/>
            </w:pPr>
          </w:p>
          <w:p w:rsidR="00F535A5" w:rsidRDefault="00DE2916" w:rsidP="00F535A5">
            <w:pPr>
              <w:jc w:val="both"/>
            </w:pPr>
            <w:r>
              <w:t>Empeoraron</w:t>
            </w:r>
            <w:r w:rsidR="00F535A5">
              <w:t xml:space="preserve"> la</w:t>
            </w:r>
            <w:r>
              <w:t>s</w:t>
            </w:r>
            <w:r w:rsidR="00F535A5">
              <w:t xml:space="preserve"> lista</w:t>
            </w:r>
            <w:r>
              <w:t>s</w:t>
            </w:r>
            <w:r w:rsidR="00F535A5">
              <w:t xml:space="preserve"> de espera</w:t>
            </w:r>
            <w:r>
              <w:t xml:space="preserve"> </w:t>
            </w:r>
            <w:r w:rsidR="00F535A5">
              <w:t>en el ultimo año</w:t>
            </w:r>
          </w:p>
        </w:tc>
        <w:tc>
          <w:tcPr>
            <w:tcW w:w="2881" w:type="dxa"/>
          </w:tcPr>
          <w:p w:rsidR="00F535A5" w:rsidRDefault="00F535A5" w:rsidP="008F7744">
            <w:pPr>
              <w:jc w:val="both"/>
            </w:pPr>
          </w:p>
          <w:p w:rsidR="00F535A5" w:rsidRDefault="00F535A5" w:rsidP="008F7744">
            <w:pPr>
              <w:jc w:val="both"/>
            </w:pPr>
            <w:r>
              <w:t>31,2%</w:t>
            </w:r>
          </w:p>
        </w:tc>
        <w:tc>
          <w:tcPr>
            <w:tcW w:w="2882" w:type="dxa"/>
          </w:tcPr>
          <w:p w:rsidR="00F535A5" w:rsidRDefault="00F535A5" w:rsidP="008F7744">
            <w:pPr>
              <w:jc w:val="both"/>
            </w:pPr>
          </w:p>
          <w:p w:rsidR="00F535A5" w:rsidRDefault="00F535A5" w:rsidP="008F7744">
            <w:pPr>
              <w:jc w:val="both"/>
            </w:pPr>
            <w:r>
              <w:t>29,3%</w:t>
            </w:r>
          </w:p>
        </w:tc>
      </w:tr>
    </w:tbl>
    <w:p w:rsidR="0000620E" w:rsidRDefault="0000620E" w:rsidP="008F7744">
      <w:pPr>
        <w:jc w:val="both"/>
      </w:pPr>
    </w:p>
    <w:p w:rsidR="00F535A5" w:rsidRDefault="00F535A5" w:rsidP="008F7744">
      <w:pPr>
        <w:jc w:val="both"/>
      </w:pPr>
      <w:r>
        <w:t>De hecho en Madrid el porcentaje de quienes reciben cita de AP en 24 hs  disminuyo respecto a 2016 en un 6,3% mientras en el conjunto del SNS solo lo hacia en un 1,4%. Igualmente el porcentaje de quienes señalan que empeoro la lista de espera en 2017 se incremento en Madrid en un 5,1% frente al 1,3% en el conjunto del SNS.</w:t>
      </w:r>
    </w:p>
    <w:p w:rsidR="00F535A5" w:rsidRDefault="00F535A5" w:rsidP="008F7744">
      <w:pPr>
        <w:jc w:val="both"/>
      </w:pPr>
    </w:p>
    <w:p w:rsidR="00B11ADA" w:rsidRDefault="00F535A5" w:rsidP="008F7744">
      <w:pPr>
        <w:jc w:val="both"/>
      </w:pPr>
      <w:r>
        <w:t xml:space="preserve">Otro hecho reseñable es </w:t>
      </w:r>
      <w:r w:rsidR="00B11ADA">
        <w:t>el notable descenso del porcentaje de población que elegiría un centro público que se produce en todos los casos, también de una manera netamente superior al retroceso del conjunto del SNS, de manera que si Madrid se situaba en 2016 por encima del promedio del SNS, en 2017 se sitúa ya por debajo de esta, tal y como recoge la tabla:</w:t>
      </w:r>
    </w:p>
    <w:p w:rsidR="00B11ADA" w:rsidRDefault="00B11ADA" w:rsidP="008F7744">
      <w:pPr>
        <w:jc w:val="both"/>
      </w:pPr>
    </w:p>
    <w:p w:rsidR="00DE2916" w:rsidRDefault="00DE2916" w:rsidP="008F7744">
      <w:pPr>
        <w:jc w:val="both"/>
      </w:pPr>
    </w:p>
    <w:tbl>
      <w:tblPr>
        <w:tblStyle w:val="Tablaconcuadrcula"/>
        <w:tblW w:w="0" w:type="auto"/>
        <w:tblLook w:val="01E0"/>
      </w:tblPr>
      <w:tblGrid>
        <w:gridCol w:w="1728"/>
        <w:gridCol w:w="1729"/>
        <w:gridCol w:w="1729"/>
        <w:gridCol w:w="1729"/>
        <w:gridCol w:w="1729"/>
      </w:tblGrid>
      <w:tr w:rsidR="00D24049">
        <w:tc>
          <w:tcPr>
            <w:tcW w:w="1728" w:type="dxa"/>
          </w:tcPr>
          <w:p w:rsidR="00D24049" w:rsidRDefault="00D24049" w:rsidP="008F7744">
            <w:pPr>
              <w:jc w:val="both"/>
            </w:pPr>
          </w:p>
        </w:tc>
        <w:tc>
          <w:tcPr>
            <w:tcW w:w="1729" w:type="dxa"/>
          </w:tcPr>
          <w:p w:rsidR="00D24049" w:rsidRDefault="00D24049" w:rsidP="008F7744">
            <w:pPr>
              <w:jc w:val="both"/>
            </w:pPr>
          </w:p>
          <w:p w:rsidR="00D24049" w:rsidRDefault="00D24049" w:rsidP="008F7744">
            <w:pPr>
              <w:jc w:val="both"/>
            </w:pPr>
            <w:r>
              <w:t>Madrid 2017</w:t>
            </w:r>
          </w:p>
        </w:tc>
        <w:tc>
          <w:tcPr>
            <w:tcW w:w="1729" w:type="dxa"/>
          </w:tcPr>
          <w:p w:rsidR="00D24049" w:rsidRDefault="00D24049" w:rsidP="008F7744">
            <w:pPr>
              <w:jc w:val="both"/>
            </w:pPr>
          </w:p>
          <w:p w:rsidR="00D24049" w:rsidRDefault="00D24049" w:rsidP="008F7744">
            <w:pPr>
              <w:jc w:val="both"/>
            </w:pPr>
            <w:r>
              <w:t>SNS 2017</w:t>
            </w:r>
          </w:p>
        </w:tc>
        <w:tc>
          <w:tcPr>
            <w:tcW w:w="1729" w:type="dxa"/>
          </w:tcPr>
          <w:p w:rsidR="00D24049" w:rsidRDefault="00D24049" w:rsidP="008F7744">
            <w:pPr>
              <w:jc w:val="both"/>
            </w:pPr>
          </w:p>
          <w:p w:rsidR="00D24049" w:rsidRDefault="00D24049" w:rsidP="008F7744">
            <w:pPr>
              <w:jc w:val="both"/>
            </w:pPr>
            <w:r>
              <w:t>Madrid 2016</w:t>
            </w:r>
          </w:p>
        </w:tc>
        <w:tc>
          <w:tcPr>
            <w:tcW w:w="1729" w:type="dxa"/>
          </w:tcPr>
          <w:p w:rsidR="00D24049" w:rsidRDefault="00D24049" w:rsidP="008F7744">
            <w:pPr>
              <w:jc w:val="both"/>
            </w:pPr>
          </w:p>
          <w:p w:rsidR="00D24049" w:rsidRDefault="00D24049" w:rsidP="008F7744">
            <w:pPr>
              <w:jc w:val="both"/>
            </w:pPr>
            <w:r>
              <w:t>SNS 2017</w:t>
            </w:r>
          </w:p>
        </w:tc>
      </w:tr>
      <w:tr w:rsidR="00D24049">
        <w:tc>
          <w:tcPr>
            <w:tcW w:w="1728" w:type="dxa"/>
          </w:tcPr>
          <w:p w:rsidR="00D24049" w:rsidRPr="00D24049" w:rsidRDefault="00D24049" w:rsidP="008F7744">
            <w:pPr>
              <w:jc w:val="both"/>
              <w:rPr>
                <w:sz w:val="22"/>
                <w:szCs w:val="22"/>
              </w:rPr>
            </w:pPr>
          </w:p>
          <w:p w:rsidR="00D24049" w:rsidRPr="00D24049" w:rsidRDefault="00D24049" w:rsidP="008F7744">
            <w:pPr>
              <w:jc w:val="both"/>
              <w:rPr>
                <w:sz w:val="22"/>
                <w:szCs w:val="22"/>
              </w:rPr>
            </w:pPr>
            <w:r w:rsidRPr="00D24049">
              <w:rPr>
                <w:sz w:val="22"/>
                <w:szCs w:val="22"/>
              </w:rPr>
              <w:t>Elegiría centro público</w:t>
            </w:r>
            <w:r>
              <w:rPr>
                <w:sz w:val="22"/>
                <w:szCs w:val="22"/>
              </w:rPr>
              <w:t xml:space="preserve"> AP</w:t>
            </w:r>
          </w:p>
        </w:tc>
        <w:tc>
          <w:tcPr>
            <w:tcW w:w="1729" w:type="dxa"/>
          </w:tcPr>
          <w:p w:rsidR="00D24049" w:rsidRDefault="00D24049" w:rsidP="00DE2916"/>
          <w:p w:rsidR="00D24049" w:rsidRDefault="00D24049" w:rsidP="00DE2916">
            <w:r>
              <w:t>66,2</w:t>
            </w:r>
          </w:p>
          <w:p w:rsidR="00D24049" w:rsidRDefault="00D24049" w:rsidP="00DE2916"/>
        </w:tc>
        <w:tc>
          <w:tcPr>
            <w:tcW w:w="1729" w:type="dxa"/>
          </w:tcPr>
          <w:p w:rsidR="00D24049" w:rsidRDefault="00D24049" w:rsidP="00DE2916"/>
          <w:p w:rsidR="00D24049" w:rsidRDefault="00D24049" w:rsidP="00DE2916">
            <w:r>
              <w:t>67,8</w:t>
            </w:r>
          </w:p>
        </w:tc>
        <w:tc>
          <w:tcPr>
            <w:tcW w:w="1729" w:type="dxa"/>
          </w:tcPr>
          <w:p w:rsidR="00D24049" w:rsidRDefault="00D24049" w:rsidP="00DE2916"/>
          <w:p w:rsidR="00D24049" w:rsidRDefault="00D24049" w:rsidP="00DE2916">
            <w:r>
              <w:t>76,10</w:t>
            </w:r>
          </w:p>
        </w:tc>
        <w:tc>
          <w:tcPr>
            <w:tcW w:w="1729" w:type="dxa"/>
          </w:tcPr>
          <w:p w:rsidR="00D24049" w:rsidRDefault="00D24049" w:rsidP="00DE2916"/>
          <w:p w:rsidR="00D24049" w:rsidRDefault="00D24049" w:rsidP="00DE2916">
            <w:r>
              <w:t>69,6</w:t>
            </w:r>
          </w:p>
        </w:tc>
      </w:tr>
      <w:tr w:rsidR="00D24049">
        <w:tc>
          <w:tcPr>
            <w:tcW w:w="1728" w:type="dxa"/>
          </w:tcPr>
          <w:p w:rsidR="00D24049" w:rsidRPr="00D24049" w:rsidRDefault="00D24049" w:rsidP="00D24049">
            <w:pPr>
              <w:jc w:val="both"/>
              <w:rPr>
                <w:sz w:val="22"/>
                <w:szCs w:val="22"/>
              </w:rPr>
            </w:pPr>
          </w:p>
          <w:p w:rsidR="00D24049" w:rsidRPr="00D24049" w:rsidRDefault="00D24049" w:rsidP="00D24049">
            <w:pPr>
              <w:jc w:val="both"/>
              <w:rPr>
                <w:sz w:val="22"/>
                <w:szCs w:val="22"/>
              </w:rPr>
            </w:pPr>
            <w:r w:rsidRPr="00D24049">
              <w:rPr>
                <w:sz w:val="22"/>
                <w:szCs w:val="22"/>
              </w:rPr>
              <w:t>Elegiría centro público</w:t>
            </w:r>
            <w:r>
              <w:rPr>
                <w:sz w:val="22"/>
                <w:szCs w:val="22"/>
              </w:rPr>
              <w:t xml:space="preserve"> consultas AE</w:t>
            </w:r>
          </w:p>
        </w:tc>
        <w:tc>
          <w:tcPr>
            <w:tcW w:w="1729" w:type="dxa"/>
          </w:tcPr>
          <w:p w:rsidR="00D24049" w:rsidRDefault="00D24049" w:rsidP="00DE2916"/>
          <w:p w:rsidR="00D24049" w:rsidRDefault="00D24049" w:rsidP="00DE2916">
            <w:r>
              <w:t>54,6</w:t>
            </w:r>
          </w:p>
        </w:tc>
        <w:tc>
          <w:tcPr>
            <w:tcW w:w="1729" w:type="dxa"/>
          </w:tcPr>
          <w:p w:rsidR="00D24049" w:rsidRDefault="00D24049" w:rsidP="00DE2916"/>
          <w:p w:rsidR="00D24049" w:rsidRDefault="00D24049" w:rsidP="00DE2916">
            <w:r>
              <w:t>55,8</w:t>
            </w:r>
          </w:p>
        </w:tc>
        <w:tc>
          <w:tcPr>
            <w:tcW w:w="1729" w:type="dxa"/>
          </w:tcPr>
          <w:p w:rsidR="00D24049" w:rsidRDefault="00D24049" w:rsidP="00DE2916"/>
          <w:p w:rsidR="00D24049" w:rsidRDefault="00D24049" w:rsidP="00DE2916">
            <w:r>
              <w:t>67,4</w:t>
            </w:r>
          </w:p>
        </w:tc>
        <w:tc>
          <w:tcPr>
            <w:tcW w:w="1729" w:type="dxa"/>
          </w:tcPr>
          <w:p w:rsidR="00D24049" w:rsidRDefault="00D24049" w:rsidP="00DE2916"/>
          <w:p w:rsidR="00D24049" w:rsidRDefault="00D24049" w:rsidP="00DE2916">
            <w:r>
              <w:t>57</w:t>
            </w:r>
          </w:p>
        </w:tc>
      </w:tr>
      <w:tr w:rsidR="00D24049">
        <w:tc>
          <w:tcPr>
            <w:tcW w:w="1728" w:type="dxa"/>
          </w:tcPr>
          <w:p w:rsidR="00D24049" w:rsidRPr="00D24049" w:rsidRDefault="00D24049" w:rsidP="00D24049">
            <w:pPr>
              <w:jc w:val="both"/>
              <w:rPr>
                <w:sz w:val="22"/>
                <w:szCs w:val="22"/>
              </w:rPr>
            </w:pPr>
          </w:p>
          <w:p w:rsidR="00D24049" w:rsidRPr="00D24049" w:rsidRDefault="00D24049" w:rsidP="00D24049">
            <w:pPr>
              <w:jc w:val="both"/>
              <w:rPr>
                <w:sz w:val="22"/>
                <w:szCs w:val="22"/>
              </w:rPr>
            </w:pPr>
            <w:r w:rsidRPr="00D24049">
              <w:rPr>
                <w:sz w:val="22"/>
                <w:szCs w:val="22"/>
              </w:rPr>
              <w:t xml:space="preserve">Elegiría  </w:t>
            </w:r>
            <w:r w:rsidR="00DE2916">
              <w:rPr>
                <w:sz w:val="22"/>
                <w:szCs w:val="22"/>
              </w:rPr>
              <w:t>Hospital</w:t>
            </w:r>
            <w:r w:rsidR="00DE2916" w:rsidRPr="00D24049">
              <w:rPr>
                <w:sz w:val="22"/>
                <w:szCs w:val="22"/>
              </w:rPr>
              <w:t xml:space="preserve"> </w:t>
            </w:r>
            <w:r w:rsidRPr="00D24049">
              <w:rPr>
                <w:sz w:val="22"/>
                <w:szCs w:val="22"/>
              </w:rPr>
              <w:t>público</w:t>
            </w:r>
            <w:r>
              <w:rPr>
                <w:sz w:val="22"/>
                <w:szCs w:val="22"/>
              </w:rPr>
              <w:t xml:space="preserve"> </w:t>
            </w:r>
          </w:p>
        </w:tc>
        <w:tc>
          <w:tcPr>
            <w:tcW w:w="1729" w:type="dxa"/>
          </w:tcPr>
          <w:p w:rsidR="00D24049" w:rsidRDefault="00D24049" w:rsidP="00DE2916"/>
          <w:p w:rsidR="00D24049" w:rsidRDefault="00D24049" w:rsidP="00DE2916">
            <w:r>
              <w:t>67</w:t>
            </w:r>
          </w:p>
        </w:tc>
        <w:tc>
          <w:tcPr>
            <w:tcW w:w="1729" w:type="dxa"/>
          </w:tcPr>
          <w:p w:rsidR="00D24049" w:rsidRDefault="00D24049" w:rsidP="00DE2916"/>
          <w:p w:rsidR="00D24049" w:rsidRDefault="00D24049" w:rsidP="00DE2916">
            <w:r>
              <w:t>65,7</w:t>
            </w:r>
          </w:p>
        </w:tc>
        <w:tc>
          <w:tcPr>
            <w:tcW w:w="1729" w:type="dxa"/>
          </w:tcPr>
          <w:p w:rsidR="00D24049" w:rsidRDefault="00D24049" w:rsidP="00DE2916"/>
          <w:p w:rsidR="00D24049" w:rsidRDefault="00D24049" w:rsidP="00DE2916">
            <w:r>
              <w:t>74,8</w:t>
            </w:r>
          </w:p>
        </w:tc>
        <w:tc>
          <w:tcPr>
            <w:tcW w:w="1729" w:type="dxa"/>
          </w:tcPr>
          <w:p w:rsidR="00D24049" w:rsidRDefault="00D24049" w:rsidP="00DE2916"/>
          <w:p w:rsidR="00D24049" w:rsidRDefault="00D24049" w:rsidP="00DE2916">
            <w:r>
              <w:t>68,10</w:t>
            </w:r>
          </w:p>
        </w:tc>
      </w:tr>
      <w:tr w:rsidR="00D24049">
        <w:tc>
          <w:tcPr>
            <w:tcW w:w="1728" w:type="dxa"/>
          </w:tcPr>
          <w:p w:rsidR="00D24049" w:rsidRPr="00D24049" w:rsidRDefault="00D24049" w:rsidP="00D24049">
            <w:pPr>
              <w:jc w:val="both"/>
              <w:rPr>
                <w:sz w:val="22"/>
                <w:szCs w:val="22"/>
              </w:rPr>
            </w:pPr>
          </w:p>
          <w:p w:rsidR="00D24049" w:rsidRPr="00D24049" w:rsidRDefault="00D24049" w:rsidP="00D24049">
            <w:pPr>
              <w:jc w:val="both"/>
              <w:rPr>
                <w:sz w:val="22"/>
                <w:szCs w:val="22"/>
              </w:rPr>
            </w:pPr>
            <w:r w:rsidRPr="00D24049">
              <w:rPr>
                <w:sz w:val="22"/>
                <w:szCs w:val="22"/>
              </w:rPr>
              <w:t>Elegiría centro público</w:t>
            </w:r>
            <w:r>
              <w:rPr>
                <w:sz w:val="22"/>
                <w:szCs w:val="22"/>
              </w:rPr>
              <w:t xml:space="preserve"> urgencias</w:t>
            </w:r>
          </w:p>
        </w:tc>
        <w:tc>
          <w:tcPr>
            <w:tcW w:w="1729" w:type="dxa"/>
          </w:tcPr>
          <w:p w:rsidR="00D24049" w:rsidRDefault="00D24049" w:rsidP="00DE2916"/>
          <w:p w:rsidR="00D24049" w:rsidRDefault="00D24049" w:rsidP="00DE2916">
            <w:r>
              <w:t>63,1</w:t>
            </w:r>
          </w:p>
        </w:tc>
        <w:tc>
          <w:tcPr>
            <w:tcW w:w="1729" w:type="dxa"/>
          </w:tcPr>
          <w:p w:rsidR="00D24049" w:rsidRDefault="00D24049" w:rsidP="00DE2916"/>
          <w:p w:rsidR="00D24049" w:rsidRDefault="00D24049" w:rsidP="00DE2916">
            <w:r>
              <w:t>65</w:t>
            </w:r>
          </w:p>
        </w:tc>
        <w:tc>
          <w:tcPr>
            <w:tcW w:w="1729" w:type="dxa"/>
          </w:tcPr>
          <w:p w:rsidR="00D24049" w:rsidRDefault="00D24049" w:rsidP="00DE2916"/>
          <w:p w:rsidR="00D24049" w:rsidRDefault="00D24049" w:rsidP="00DE2916">
            <w:r>
              <w:t>71,6</w:t>
            </w:r>
          </w:p>
        </w:tc>
        <w:tc>
          <w:tcPr>
            <w:tcW w:w="1729" w:type="dxa"/>
          </w:tcPr>
          <w:p w:rsidR="00D24049" w:rsidRDefault="00D24049" w:rsidP="00DE2916"/>
          <w:p w:rsidR="00D24049" w:rsidRDefault="00D24049" w:rsidP="00DE2916">
            <w:r>
              <w:t>66,4</w:t>
            </w:r>
          </w:p>
        </w:tc>
      </w:tr>
    </w:tbl>
    <w:p w:rsidR="00D24049" w:rsidRDefault="00D24049" w:rsidP="008F7744">
      <w:pPr>
        <w:jc w:val="both"/>
      </w:pPr>
    </w:p>
    <w:p w:rsidR="00D24049" w:rsidRDefault="00D24049" w:rsidP="007E6A97">
      <w:pPr>
        <w:ind w:firstLine="284"/>
        <w:jc w:val="both"/>
      </w:pPr>
      <w:r>
        <w:t>Por fin, la satisfacción con el sistema sanitario público crece en Madrid un 0,09%, es decir permanece estable mientras en el conjunto del SNS lo hace en un punto.</w:t>
      </w:r>
    </w:p>
    <w:p w:rsidR="00D24049" w:rsidRDefault="00D24049" w:rsidP="007E6A97">
      <w:pPr>
        <w:ind w:firstLine="284"/>
        <w:jc w:val="both"/>
      </w:pPr>
    </w:p>
    <w:p w:rsidR="00F535A5" w:rsidRDefault="00D24049" w:rsidP="007E6A97">
      <w:pPr>
        <w:ind w:firstLine="284"/>
        <w:jc w:val="both"/>
      </w:pPr>
      <w:r>
        <w:t>No puede valorarse la opinión que tiene la ciudadanía de</w:t>
      </w:r>
      <w:r w:rsidR="00B11ADA">
        <w:t xml:space="preserve"> </w:t>
      </w:r>
      <w:r>
        <w:t>si los servicios de la Sanidad Pública mejoraron en el ultimo año (AP, consultas AE, hospitales y urgencias) ni si consideran que el sistema sanitario esta mejor gestionado si lo hace la administración pública porque estas preguntas “casualmente” han desaparecido del Barómetro de este año.</w:t>
      </w:r>
    </w:p>
    <w:p w:rsidR="00D24049" w:rsidRDefault="00D24049" w:rsidP="007E6A97">
      <w:pPr>
        <w:ind w:firstLine="284"/>
        <w:jc w:val="both"/>
      </w:pPr>
    </w:p>
    <w:p w:rsidR="00D24049" w:rsidRDefault="00D24049" w:rsidP="007E6A97">
      <w:pPr>
        <w:ind w:firstLine="284"/>
        <w:jc w:val="both"/>
      </w:pPr>
      <w:r>
        <w:t>En conclusión, en opinión de la población los problemas de listas de espera en la Comunidad de Madrid son mayores que en el conjunto del SNS, que ya tienen una situación muy negativa, y la preferencia por los centros públicos ha empeorado mas en la Comunidad de Madrid que en conjunto del SNS lo que evidencian que la política de recortes, deterioro y privatización de la Sanidad Pública ha continuado en el ultimo año en esta comunidad y ha tenido mayor intensidad que en el conjunto del sistema sanitario.</w:t>
      </w:r>
    </w:p>
    <w:p w:rsidR="00D24049" w:rsidRPr="00D24049" w:rsidRDefault="00D24049" w:rsidP="008F7744">
      <w:pPr>
        <w:jc w:val="both"/>
        <w:rPr>
          <w:b/>
        </w:rPr>
      </w:pPr>
    </w:p>
    <w:p w:rsidR="00D24049" w:rsidRDefault="00D24049" w:rsidP="007E6A97">
      <w:pPr>
        <w:jc w:val="center"/>
        <w:rPr>
          <w:b/>
        </w:rPr>
      </w:pPr>
      <w:r w:rsidRPr="00D24049">
        <w:rPr>
          <w:b/>
        </w:rPr>
        <w:t>Asociación para la Defensa de la Sanidad Pública de Madrid</w:t>
      </w:r>
    </w:p>
    <w:p w:rsidR="007E6A97" w:rsidRPr="00D24049" w:rsidRDefault="007E6A97" w:rsidP="008F7744">
      <w:pPr>
        <w:jc w:val="both"/>
        <w:rPr>
          <w:b/>
        </w:rPr>
      </w:pPr>
    </w:p>
    <w:p w:rsidR="00D24049" w:rsidRPr="00D24049" w:rsidRDefault="00D24049" w:rsidP="007E6A97">
      <w:pPr>
        <w:jc w:val="center"/>
        <w:rPr>
          <w:b/>
        </w:rPr>
      </w:pPr>
      <w:r w:rsidRPr="00D24049">
        <w:rPr>
          <w:b/>
        </w:rPr>
        <w:t>10 de mayo de 2018</w:t>
      </w:r>
    </w:p>
    <w:sectPr w:rsidR="00D24049" w:rsidRPr="00D240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CE2C39"/>
    <w:rsid w:val="0000620E"/>
    <w:rsid w:val="001405C6"/>
    <w:rsid w:val="00517F3D"/>
    <w:rsid w:val="007E6A97"/>
    <w:rsid w:val="008F7744"/>
    <w:rsid w:val="00B11ADA"/>
    <w:rsid w:val="00CE2C39"/>
    <w:rsid w:val="00D24049"/>
    <w:rsid w:val="00DE2916"/>
    <w:rsid w:val="00F535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00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1405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05C6"/>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LA COMUNIDAD DE MADRID EN EL BAROMETRO SANITARIO 2017</vt:lpstr>
    </vt:vector>
  </TitlesOfParts>
  <Company>FADSP</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COMUNIDAD DE MADRID EN EL BAROMETRO SANITARIO 2017</dc:title>
  <dc:creator>FADSP</dc:creator>
  <cp:lastModifiedBy>ru</cp:lastModifiedBy>
  <cp:revision>2</cp:revision>
  <cp:lastPrinted>2018-05-10T10:20:00Z</cp:lastPrinted>
  <dcterms:created xsi:type="dcterms:W3CDTF">2018-05-10T19:55:00Z</dcterms:created>
  <dcterms:modified xsi:type="dcterms:W3CDTF">2018-05-10T19:55:00Z</dcterms:modified>
</cp:coreProperties>
</file>