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1B" w:rsidRDefault="00341C1B" w:rsidP="00341C1B">
      <w:pPr>
        <w:pStyle w:val="Ttulo"/>
        <w:jc w:val="center"/>
        <w:rPr>
          <w:rFonts w:eastAsia="Times New Roman"/>
          <w:lang w:eastAsia="es-ES"/>
        </w:rPr>
      </w:pPr>
      <w:r w:rsidRPr="00341C1B">
        <w:rPr>
          <w:rFonts w:eastAsia="Times New Roman"/>
          <w:lang w:eastAsia="es-ES"/>
        </w:rPr>
        <w:t>Nota AGDSP sobre paralización actividad hospitales públicos</w:t>
      </w:r>
    </w:p>
    <w:p w:rsidR="00341C1B" w:rsidRPr="00341C1B" w:rsidRDefault="00341C1B" w:rsidP="00341C1B">
      <w:p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 xml:space="preserve">Desde la Asociación Galega para a Defensa da </w:t>
      </w:r>
      <w:proofErr w:type="spellStart"/>
      <w:r w:rsidRPr="00341C1B">
        <w:rPr>
          <w:rFonts w:ascii="Calibri" w:eastAsia="Times New Roman" w:hAnsi="Calibri" w:cs="Calibri"/>
          <w:color w:val="201F1E"/>
          <w:sz w:val="23"/>
          <w:szCs w:val="23"/>
          <w:lang w:eastAsia="es-ES"/>
        </w:rPr>
        <w:t>Sanidade</w:t>
      </w:r>
      <w:proofErr w:type="spellEnd"/>
      <w:r w:rsidRPr="00341C1B">
        <w:rPr>
          <w:rFonts w:ascii="Calibri" w:eastAsia="Times New Roman" w:hAnsi="Calibri" w:cs="Calibri"/>
          <w:color w:val="201F1E"/>
          <w:sz w:val="23"/>
          <w:szCs w:val="23"/>
          <w:lang w:eastAsia="es-ES"/>
        </w:rPr>
        <w:t xml:space="preserve"> Pública queremos denunciar la actual situación de paralización de la actividad asistencial en los hospitales públicos gallegos, con el argumento de luchar contra la epidemia del COVID19. Consideramos que esta situación afecta al tratamiento y seguimiento de enfermos que precisan atención sanitaria.</w:t>
      </w:r>
    </w:p>
    <w:p w:rsidR="00341C1B" w:rsidRPr="00341C1B" w:rsidRDefault="00341C1B" w:rsidP="00341C1B">
      <w:pPr>
        <w:spacing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bdr w:val="none" w:sz="0" w:space="0" w:color="auto" w:frame="1"/>
          <w:lang w:eastAsia="es-ES"/>
        </w:rPr>
        <w:t>No parece justificable mantener el cierre en el momento actual con el argumento de evitar el colapso de camas y hospitales dado el descenso de los casos que requieren hospitalización (en algunos centros no hay ninguno),</w:t>
      </w:r>
    </w:p>
    <w:p w:rsidR="00341C1B" w:rsidRPr="00341C1B" w:rsidRDefault="00341C1B" w:rsidP="00341C1B">
      <w:pPr>
        <w:spacing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bdr w:val="none" w:sz="0" w:space="0" w:color="auto" w:frame="1"/>
          <w:lang w:eastAsia="es-ES"/>
        </w:rPr>
        <w:t>El segundo argumento de evitar el riesgo de contagio de los pacientes que acuden a los hospitales públicos tampoco parece sostenible dado el descenso de la epidemia, de las </w:t>
      </w:r>
      <w:r w:rsidRPr="00341C1B">
        <w:rPr>
          <w:rFonts w:ascii="Segoe UI" w:eastAsia="Times New Roman" w:hAnsi="Segoe UI" w:cs="Segoe UI"/>
          <w:color w:val="201F1E"/>
          <w:sz w:val="23"/>
          <w:szCs w:val="23"/>
          <w:lang w:eastAsia="es-ES"/>
        </w:rPr>
        <w:t>personas</w:t>
      </w:r>
      <w:r w:rsidRPr="00341C1B">
        <w:rPr>
          <w:rFonts w:ascii="Calibri" w:eastAsia="Times New Roman" w:hAnsi="Calibri" w:cs="Calibri"/>
          <w:color w:val="201F1E"/>
          <w:sz w:val="23"/>
          <w:szCs w:val="23"/>
          <w:bdr w:val="none" w:sz="0" w:space="0" w:color="auto" w:frame="1"/>
          <w:lang w:eastAsia="es-ES"/>
        </w:rPr>
        <w:t> hospitalizadas y la masiva derivación de pacientes a hospitales privados, donde también existe el mismo riesgo.</w:t>
      </w:r>
    </w:p>
    <w:p w:rsidR="00341C1B" w:rsidRPr="00341C1B" w:rsidRDefault="00341C1B" w:rsidP="00341C1B">
      <w:pPr>
        <w:spacing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000000"/>
          <w:sz w:val="23"/>
          <w:szCs w:val="23"/>
          <w:bdr w:val="none" w:sz="0" w:space="0" w:color="auto" w:frame="1"/>
          <w:lang w:eastAsia="es-ES"/>
        </w:rPr>
        <w:t>Por ejemplo</w:t>
      </w:r>
      <w:r>
        <w:rPr>
          <w:rFonts w:ascii="Calibri" w:eastAsia="Times New Roman" w:hAnsi="Calibri" w:cs="Calibri"/>
          <w:color w:val="000000"/>
          <w:sz w:val="23"/>
          <w:szCs w:val="23"/>
          <w:bdr w:val="none" w:sz="0" w:space="0" w:color="auto" w:frame="1"/>
          <w:lang w:eastAsia="es-ES"/>
        </w:rPr>
        <w:t>,</w:t>
      </w:r>
      <w:r w:rsidRPr="00341C1B">
        <w:rPr>
          <w:rFonts w:ascii="Calibri" w:eastAsia="Times New Roman" w:hAnsi="Calibri" w:cs="Calibri"/>
          <w:color w:val="000000"/>
          <w:sz w:val="23"/>
          <w:szCs w:val="23"/>
          <w:bdr w:val="none" w:sz="0" w:space="0" w:color="auto" w:frame="1"/>
          <w:lang w:eastAsia="es-ES"/>
        </w:rPr>
        <w:t xml:space="preserve"> en el Complejo Hospitalario de Pontevedra la situación resulta especialmente preocupante en cirugía y </w:t>
      </w:r>
      <w:r w:rsidRPr="00341C1B">
        <w:rPr>
          <w:rFonts w:ascii="Segoe UI" w:eastAsia="Times New Roman" w:hAnsi="Segoe UI" w:cs="Segoe UI"/>
          <w:color w:val="201F1E"/>
          <w:sz w:val="23"/>
          <w:szCs w:val="23"/>
          <w:lang w:eastAsia="es-ES"/>
        </w:rPr>
        <w:t>traumatología</w:t>
      </w:r>
      <w:r w:rsidRPr="00341C1B">
        <w:rPr>
          <w:rFonts w:ascii="Calibri" w:eastAsia="Times New Roman" w:hAnsi="Calibri" w:cs="Calibri"/>
          <w:color w:val="000000"/>
          <w:sz w:val="23"/>
          <w:szCs w:val="23"/>
          <w:bdr w:val="none" w:sz="0" w:space="0" w:color="auto" w:frame="1"/>
          <w:lang w:eastAsia="es-ES"/>
        </w:rPr>
        <w:t> en el que gran parte de la planta </w:t>
      </w:r>
      <w:r w:rsidRPr="00341C1B">
        <w:rPr>
          <w:rFonts w:ascii="Segoe UI" w:eastAsia="Times New Roman" w:hAnsi="Segoe UI" w:cs="Segoe UI"/>
          <w:color w:val="201F1E"/>
          <w:sz w:val="23"/>
          <w:szCs w:val="23"/>
          <w:lang w:eastAsia="es-ES"/>
        </w:rPr>
        <w:t>está</w:t>
      </w:r>
      <w:r w:rsidRPr="00341C1B">
        <w:rPr>
          <w:rFonts w:ascii="Calibri" w:eastAsia="Times New Roman" w:hAnsi="Calibri" w:cs="Calibri"/>
          <w:color w:val="000000"/>
          <w:sz w:val="23"/>
          <w:szCs w:val="23"/>
          <w:bdr w:val="none" w:sz="0" w:space="0" w:color="auto" w:frame="1"/>
          <w:lang w:eastAsia="es-ES"/>
        </w:rPr>
        <w:t xml:space="preserve"> cerrada, </w:t>
      </w:r>
      <w:proofErr w:type="gramStart"/>
      <w:r w:rsidRPr="00341C1B">
        <w:rPr>
          <w:rFonts w:ascii="Calibri" w:eastAsia="Times New Roman" w:hAnsi="Calibri" w:cs="Calibri"/>
          <w:color w:val="000000"/>
          <w:sz w:val="23"/>
          <w:szCs w:val="23"/>
          <w:bdr w:val="none" w:sz="0" w:space="0" w:color="auto" w:frame="1"/>
          <w:lang w:eastAsia="es-ES"/>
        </w:rPr>
        <w:t>sig</w:t>
      </w:r>
      <w:bookmarkStart w:id="0" w:name="_GoBack"/>
      <w:bookmarkEnd w:id="0"/>
      <w:r w:rsidRPr="00341C1B">
        <w:rPr>
          <w:rFonts w:ascii="Calibri" w:eastAsia="Times New Roman" w:hAnsi="Calibri" w:cs="Calibri"/>
          <w:color w:val="000000"/>
          <w:sz w:val="23"/>
          <w:szCs w:val="23"/>
          <w:bdr w:val="none" w:sz="0" w:space="0" w:color="auto" w:frame="1"/>
          <w:lang w:eastAsia="es-ES"/>
        </w:rPr>
        <w:t>uen</w:t>
      </w:r>
      <w:proofErr w:type="gramEnd"/>
      <w:r w:rsidRPr="00341C1B">
        <w:rPr>
          <w:rFonts w:ascii="Calibri" w:eastAsia="Times New Roman" w:hAnsi="Calibri" w:cs="Calibri"/>
          <w:color w:val="000000"/>
          <w:sz w:val="23"/>
          <w:szCs w:val="23"/>
          <w:bdr w:val="none" w:sz="0" w:space="0" w:color="auto" w:frame="1"/>
          <w:lang w:eastAsia="es-ES"/>
        </w:rPr>
        <w:t xml:space="preserve"> habiendo dos profesionales de guardia y la </w:t>
      </w:r>
      <w:r w:rsidRPr="00341C1B">
        <w:rPr>
          <w:rFonts w:ascii="Segoe UI" w:eastAsia="Times New Roman" w:hAnsi="Segoe UI" w:cs="Segoe UI"/>
          <w:color w:val="201F1E"/>
          <w:sz w:val="23"/>
          <w:szCs w:val="23"/>
          <w:lang w:eastAsia="es-ES"/>
        </w:rPr>
        <w:t>práctica</w:t>
      </w:r>
      <w:r w:rsidRPr="00341C1B">
        <w:rPr>
          <w:rFonts w:ascii="Calibri" w:eastAsia="Times New Roman" w:hAnsi="Calibri" w:cs="Calibri"/>
          <w:color w:val="000000"/>
          <w:sz w:val="23"/>
          <w:szCs w:val="23"/>
          <w:bdr w:val="none" w:sz="0" w:space="0" w:color="auto" w:frame="1"/>
          <w:lang w:eastAsia="es-ES"/>
        </w:rPr>
        <w:t> totalidad de casos y pruebas son derivados al Hospital Quirón de la multinacional alemana </w:t>
      </w:r>
      <w:proofErr w:type="spellStart"/>
      <w:r w:rsidRPr="00341C1B">
        <w:rPr>
          <w:rFonts w:ascii="Segoe UI" w:eastAsia="Times New Roman" w:hAnsi="Segoe UI" w:cs="Segoe UI"/>
          <w:color w:val="201F1E"/>
          <w:sz w:val="23"/>
          <w:szCs w:val="23"/>
          <w:lang w:eastAsia="es-ES"/>
        </w:rPr>
        <w:t>Fresenius</w:t>
      </w:r>
      <w:proofErr w:type="spellEnd"/>
    </w:p>
    <w:p w:rsidR="00341C1B" w:rsidRPr="00341C1B" w:rsidRDefault="00341C1B" w:rsidP="00341C1B">
      <w:p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Consideramos por tanto inaceptable mantener paralizada la actividad asistencial en los centros públicos por:</w:t>
      </w:r>
    </w:p>
    <w:p w:rsidR="00341C1B" w:rsidRPr="00341C1B" w:rsidRDefault="00341C1B" w:rsidP="00341C1B">
      <w:pPr>
        <w:numPr>
          <w:ilvl w:val="0"/>
          <w:numId w:val="1"/>
        </w:num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El riesgo que supone para el agravamiento y las complicaciones de los enfermos con patologías crónicas y degenerativas</w:t>
      </w:r>
    </w:p>
    <w:p w:rsidR="00341C1B" w:rsidRPr="00341C1B" w:rsidRDefault="00341C1B" w:rsidP="00341C1B">
      <w:pPr>
        <w:numPr>
          <w:ilvl w:val="0"/>
          <w:numId w:val="1"/>
        </w:num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Contribuye a incrementar las listas de espera a cotas inaceptables</w:t>
      </w:r>
    </w:p>
    <w:p w:rsidR="00341C1B" w:rsidRPr="00341C1B" w:rsidRDefault="00341C1B" w:rsidP="00341C1B">
      <w:pPr>
        <w:numPr>
          <w:ilvl w:val="0"/>
          <w:numId w:val="1"/>
        </w:num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Supone una privatización de la atención hospitalaria que beneficia a los centros concertados.</w:t>
      </w:r>
    </w:p>
    <w:p w:rsidR="00341C1B" w:rsidRPr="00341C1B" w:rsidRDefault="00341C1B" w:rsidP="00341C1B">
      <w:p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Por todo ello exigimos:</w:t>
      </w:r>
    </w:p>
    <w:p w:rsidR="00341C1B" w:rsidRPr="00341C1B" w:rsidRDefault="00341C1B" w:rsidP="00341C1B">
      <w:pPr>
        <w:numPr>
          <w:ilvl w:val="0"/>
          <w:numId w:val="2"/>
        </w:num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La reanudación inmediata de la actividad normal y la reapertura de las salas y servicios clausurados por la epidemia</w:t>
      </w:r>
    </w:p>
    <w:p w:rsidR="00341C1B" w:rsidRPr="00341C1B" w:rsidRDefault="00341C1B" w:rsidP="00341C1B">
      <w:pPr>
        <w:numPr>
          <w:ilvl w:val="0"/>
          <w:numId w:val="2"/>
        </w:numPr>
        <w:spacing w:before="100" w:beforeAutospacing="1" w:after="0" w:line="240" w:lineRule="auto"/>
        <w:rPr>
          <w:rFonts w:ascii="Segoe UI" w:eastAsia="Times New Roman" w:hAnsi="Segoe UI" w:cs="Segoe UI"/>
          <w:color w:val="201F1E"/>
          <w:sz w:val="23"/>
          <w:szCs w:val="23"/>
          <w:lang w:eastAsia="es-ES"/>
        </w:rPr>
      </w:pPr>
      <w:r w:rsidRPr="00341C1B">
        <w:rPr>
          <w:rFonts w:ascii="Calibri" w:eastAsia="Times New Roman" w:hAnsi="Calibri" w:cs="Calibri"/>
          <w:color w:val="201F1E"/>
          <w:sz w:val="23"/>
          <w:szCs w:val="23"/>
          <w:lang w:eastAsia="es-ES"/>
        </w:rPr>
        <w:t>Poner en marcha un plan para incrementar la actividad de los centros públicos mediante una política de incentivos profesionales, la contratación del personal que sea necesario y el pleno aprovechamiento de los centros públicos</w:t>
      </w:r>
    </w:p>
    <w:p w:rsidR="00341C1B" w:rsidRPr="00341C1B" w:rsidRDefault="00341C1B" w:rsidP="00341C1B">
      <w:pPr>
        <w:numPr>
          <w:ilvl w:val="0"/>
          <w:numId w:val="2"/>
        </w:numPr>
        <w:spacing w:before="100" w:beforeAutospacing="1" w:after="0" w:line="240" w:lineRule="auto"/>
        <w:rPr>
          <w:rFonts w:ascii="Segoe UI" w:eastAsia="Times New Roman" w:hAnsi="Segoe UI" w:cs="Segoe UI"/>
          <w:color w:val="201F1E"/>
          <w:sz w:val="23"/>
          <w:szCs w:val="23"/>
          <w:lang w:eastAsia="es-ES"/>
        </w:rPr>
      </w:pPr>
      <w:r>
        <w:rPr>
          <w:rFonts w:ascii="Calibri" w:eastAsia="Times New Roman" w:hAnsi="Calibri" w:cs="Calibri"/>
          <w:color w:val="201F1E"/>
          <w:sz w:val="23"/>
          <w:szCs w:val="23"/>
          <w:lang w:eastAsia="es-ES"/>
        </w:rPr>
        <w:t>Abandonar la política de </w:t>
      </w:r>
      <w:r w:rsidRPr="00341C1B">
        <w:rPr>
          <w:rFonts w:ascii="Calibri" w:eastAsia="Times New Roman" w:hAnsi="Calibri" w:cs="Calibri"/>
          <w:color w:val="201F1E"/>
          <w:sz w:val="23"/>
          <w:szCs w:val="23"/>
          <w:lang w:eastAsia="es-ES"/>
        </w:rPr>
        <w:t>derivaciones masivas de pacientes a centros privados </w:t>
      </w:r>
    </w:p>
    <w:p w:rsidR="00341C1B" w:rsidRPr="00341C1B" w:rsidRDefault="00341C1B" w:rsidP="00341C1B">
      <w:pPr>
        <w:spacing w:before="100" w:beforeAutospacing="1" w:after="0" w:line="240" w:lineRule="auto"/>
        <w:rPr>
          <w:rFonts w:ascii="Segoe UI" w:eastAsia="Times New Roman" w:hAnsi="Segoe UI" w:cs="Segoe UI"/>
          <w:color w:val="201F1E"/>
          <w:sz w:val="23"/>
          <w:szCs w:val="23"/>
          <w:lang w:eastAsia="es-ES"/>
        </w:rPr>
      </w:pPr>
    </w:p>
    <w:p w:rsidR="00412EAB" w:rsidRDefault="00341C1B" w:rsidP="00341C1B">
      <w:pPr>
        <w:jc w:val="center"/>
        <w:rPr>
          <w:rFonts w:ascii="Calibri" w:eastAsia="Times New Roman" w:hAnsi="Calibri" w:cs="Calibri"/>
          <w:b/>
          <w:bCs/>
          <w:i/>
          <w:iCs/>
          <w:color w:val="201F1E"/>
          <w:sz w:val="23"/>
          <w:szCs w:val="23"/>
          <w:shd w:val="clear" w:color="auto" w:fill="FFFFFF"/>
          <w:lang w:eastAsia="es-ES"/>
        </w:rPr>
      </w:pPr>
      <w:r w:rsidRPr="00341C1B">
        <w:rPr>
          <w:rFonts w:ascii="Calibri" w:eastAsia="Times New Roman" w:hAnsi="Calibri" w:cs="Calibri"/>
          <w:color w:val="201F1E"/>
          <w:sz w:val="23"/>
          <w:szCs w:val="23"/>
          <w:shd w:val="clear" w:color="auto" w:fill="FFFFFF"/>
          <w:lang w:eastAsia="es-ES"/>
        </w:rPr>
        <w:t>A</w:t>
      </w:r>
      <w:r w:rsidRPr="00341C1B">
        <w:rPr>
          <w:rFonts w:ascii="Calibri" w:eastAsia="Times New Roman" w:hAnsi="Calibri" w:cs="Calibri"/>
          <w:b/>
          <w:bCs/>
          <w:i/>
          <w:iCs/>
          <w:color w:val="201F1E"/>
          <w:sz w:val="23"/>
          <w:szCs w:val="23"/>
          <w:shd w:val="clear" w:color="auto" w:fill="FFFFFF"/>
          <w:lang w:eastAsia="es-ES"/>
        </w:rPr>
        <w:t xml:space="preserve">sociación Galega para a Defensa da </w:t>
      </w:r>
      <w:proofErr w:type="spellStart"/>
      <w:r w:rsidRPr="00341C1B">
        <w:rPr>
          <w:rFonts w:ascii="Calibri" w:eastAsia="Times New Roman" w:hAnsi="Calibri" w:cs="Calibri"/>
          <w:b/>
          <w:bCs/>
          <w:i/>
          <w:iCs/>
          <w:color w:val="201F1E"/>
          <w:sz w:val="23"/>
          <w:szCs w:val="23"/>
          <w:shd w:val="clear" w:color="auto" w:fill="FFFFFF"/>
          <w:lang w:eastAsia="es-ES"/>
        </w:rPr>
        <w:t>Sanidade</w:t>
      </w:r>
      <w:proofErr w:type="spellEnd"/>
      <w:r w:rsidRPr="00341C1B">
        <w:rPr>
          <w:rFonts w:ascii="Calibri" w:eastAsia="Times New Roman" w:hAnsi="Calibri" w:cs="Calibri"/>
          <w:b/>
          <w:bCs/>
          <w:i/>
          <w:iCs/>
          <w:color w:val="201F1E"/>
          <w:sz w:val="23"/>
          <w:szCs w:val="23"/>
          <w:shd w:val="clear" w:color="auto" w:fill="FFFFFF"/>
          <w:lang w:eastAsia="es-ES"/>
        </w:rPr>
        <w:t xml:space="preserve"> Pública</w:t>
      </w:r>
    </w:p>
    <w:p w:rsidR="00341C1B" w:rsidRPr="00341C1B" w:rsidRDefault="00341C1B" w:rsidP="00341C1B">
      <w:pPr>
        <w:jc w:val="center"/>
      </w:pPr>
      <w:r>
        <w:rPr>
          <w:rFonts w:ascii="Calibri" w:eastAsia="Times New Roman" w:hAnsi="Calibri" w:cs="Calibri"/>
          <w:b/>
          <w:bCs/>
          <w:i/>
          <w:iCs/>
          <w:color w:val="201F1E"/>
          <w:sz w:val="23"/>
          <w:szCs w:val="23"/>
          <w:shd w:val="clear" w:color="auto" w:fill="FFFFFF"/>
          <w:lang w:eastAsia="es-ES"/>
        </w:rPr>
        <w:t>21 de mayo de 2020</w:t>
      </w:r>
    </w:p>
    <w:sectPr w:rsidR="00341C1B" w:rsidRPr="00341C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C2D"/>
    <w:multiLevelType w:val="multilevel"/>
    <w:tmpl w:val="C98A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26071"/>
    <w:multiLevelType w:val="multilevel"/>
    <w:tmpl w:val="0FC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1B"/>
    <w:rsid w:val="00341C1B"/>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6A7A"/>
  <w15:chartTrackingRefBased/>
  <w15:docId w15:val="{A900CF5B-7DAA-43AE-8BED-75F359CE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1B"/>
  </w:style>
  <w:style w:type="paragraph" w:styleId="Ttulo1">
    <w:name w:val="heading 1"/>
    <w:basedOn w:val="Normal"/>
    <w:next w:val="Normal"/>
    <w:link w:val="Ttulo1Car"/>
    <w:uiPriority w:val="9"/>
    <w:qFormat/>
    <w:rsid w:val="00341C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41C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341C1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341C1B"/>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341C1B"/>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C1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341C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41C1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341C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1C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41C1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341C1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341C1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341C1B"/>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341C1B"/>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41C1B"/>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41C1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41C1B"/>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341C1B"/>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341C1B"/>
    <w:pPr>
      <w:spacing w:line="240" w:lineRule="auto"/>
    </w:pPr>
    <w:rPr>
      <w:b/>
      <w:bCs/>
      <w:color w:val="5B9BD5" w:themeColor="accent1"/>
      <w:sz w:val="18"/>
      <w:szCs w:val="18"/>
    </w:rPr>
  </w:style>
  <w:style w:type="paragraph" w:styleId="Ttulo">
    <w:name w:val="Title"/>
    <w:basedOn w:val="Normal"/>
    <w:next w:val="Normal"/>
    <w:link w:val="TtuloCar"/>
    <w:uiPriority w:val="10"/>
    <w:qFormat/>
    <w:rsid w:val="00341C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341C1B"/>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uiPriority w:val="11"/>
    <w:qFormat/>
    <w:rsid w:val="00341C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341C1B"/>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341C1B"/>
    <w:rPr>
      <w:b/>
      <w:bCs/>
    </w:rPr>
  </w:style>
  <w:style w:type="character" w:styleId="nfasis">
    <w:name w:val="Emphasis"/>
    <w:basedOn w:val="Fuentedeprrafopredeter"/>
    <w:uiPriority w:val="20"/>
    <w:qFormat/>
    <w:rsid w:val="00341C1B"/>
    <w:rPr>
      <w:i/>
      <w:iCs/>
    </w:rPr>
  </w:style>
  <w:style w:type="paragraph" w:styleId="Sinespaciado">
    <w:name w:val="No Spacing"/>
    <w:uiPriority w:val="1"/>
    <w:qFormat/>
    <w:rsid w:val="00341C1B"/>
    <w:pPr>
      <w:spacing w:after="0" w:line="240" w:lineRule="auto"/>
    </w:pPr>
  </w:style>
  <w:style w:type="paragraph" w:styleId="Cita">
    <w:name w:val="Quote"/>
    <w:basedOn w:val="Normal"/>
    <w:next w:val="Normal"/>
    <w:link w:val="CitaCar"/>
    <w:uiPriority w:val="29"/>
    <w:qFormat/>
    <w:rsid w:val="00341C1B"/>
    <w:rPr>
      <w:i/>
      <w:iCs/>
      <w:color w:val="000000" w:themeColor="text1"/>
    </w:rPr>
  </w:style>
  <w:style w:type="character" w:customStyle="1" w:styleId="CitaCar">
    <w:name w:val="Cita Car"/>
    <w:basedOn w:val="Fuentedeprrafopredeter"/>
    <w:link w:val="Cita"/>
    <w:uiPriority w:val="29"/>
    <w:rsid w:val="00341C1B"/>
    <w:rPr>
      <w:i/>
      <w:iCs/>
      <w:color w:val="000000" w:themeColor="text1"/>
    </w:rPr>
  </w:style>
  <w:style w:type="paragraph" w:styleId="Citadestacada">
    <w:name w:val="Intense Quote"/>
    <w:basedOn w:val="Normal"/>
    <w:next w:val="Normal"/>
    <w:link w:val="CitadestacadaCar"/>
    <w:uiPriority w:val="30"/>
    <w:qFormat/>
    <w:rsid w:val="00341C1B"/>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341C1B"/>
    <w:rPr>
      <w:b/>
      <w:bCs/>
      <w:i/>
      <w:iCs/>
      <w:color w:val="5B9BD5" w:themeColor="accent1"/>
    </w:rPr>
  </w:style>
  <w:style w:type="character" w:styleId="nfasissutil">
    <w:name w:val="Subtle Emphasis"/>
    <w:basedOn w:val="Fuentedeprrafopredeter"/>
    <w:uiPriority w:val="19"/>
    <w:qFormat/>
    <w:rsid w:val="00341C1B"/>
    <w:rPr>
      <w:i/>
      <w:iCs/>
      <w:color w:val="808080" w:themeColor="text1" w:themeTint="7F"/>
    </w:rPr>
  </w:style>
  <w:style w:type="character" w:styleId="nfasisintenso">
    <w:name w:val="Intense Emphasis"/>
    <w:basedOn w:val="Fuentedeprrafopredeter"/>
    <w:uiPriority w:val="21"/>
    <w:qFormat/>
    <w:rsid w:val="00341C1B"/>
    <w:rPr>
      <w:b/>
      <w:bCs/>
      <w:i/>
      <w:iCs/>
      <w:color w:val="5B9BD5" w:themeColor="accent1"/>
    </w:rPr>
  </w:style>
  <w:style w:type="character" w:styleId="Referenciasutil">
    <w:name w:val="Subtle Reference"/>
    <w:basedOn w:val="Fuentedeprrafopredeter"/>
    <w:uiPriority w:val="31"/>
    <w:qFormat/>
    <w:rsid w:val="00341C1B"/>
    <w:rPr>
      <w:smallCaps/>
      <w:color w:val="ED7D31" w:themeColor="accent2"/>
      <w:u w:val="single"/>
    </w:rPr>
  </w:style>
  <w:style w:type="character" w:styleId="Referenciaintensa">
    <w:name w:val="Intense Reference"/>
    <w:basedOn w:val="Fuentedeprrafopredeter"/>
    <w:uiPriority w:val="32"/>
    <w:qFormat/>
    <w:rsid w:val="00341C1B"/>
    <w:rPr>
      <w:b/>
      <w:bCs/>
      <w:smallCaps/>
      <w:color w:val="ED7D31" w:themeColor="accent2"/>
      <w:spacing w:val="5"/>
      <w:u w:val="single"/>
    </w:rPr>
  </w:style>
  <w:style w:type="character" w:styleId="Ttulodellibro">
    <w:name w:val="Book Title"/>
    <w:basedOn w:val="Fuentedeprrafopredeter"/>
    <w:uiPriority w:val="33"/>
    <w:qFormat/>
    <w:rsid w:val="00341C1B"/>
    <w:rPr>
      <w:b/>
      <w:bCs/>
      <w:smallCaps/>
      <w:spacing w:val="5"/>
    </w:rPr>
  </w:style>
  <w:style w:type="paragraph" w:styleId="TtuloTDC">
    <w:name w:val="TOC Heading"/>
    <w:basedOn w:val="Ttulo1"/>
    <w:next w:val="Normal"/>
    <w:uiPriority w:val="39"/>
    <w:semiHidden/>
    <w:unhideWhenUsed/>
    <w:qFormat/>
    <w:rsid w:val="00341C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14393">
      <w:bodyDiv w:val="1"/>
      <w:marLeft w:val="0"/>
      <w:marRight w:val="0"/>
      <w:marTop w:val="0"/>
      <w:marBottom w:val="0"/>
      <w:divBdr>
        <w:top w:val="none" w:sz="0" w:space="0" w:color="auto"/>
        <w:left w:val="none" w:sz="0" w:space="0" w:color="auto"/>
        <w:bottom w:val="none" w:sz="0" w:space="0" w:color="auto"/>
        <w:right w:val="none" w:sz="0" w:space="0" w:color="auto"/>
      </w:divBdr>
      <w:divsChild>
        <w:div w:id="636297231">
          <w:marLeft w:val="300"/>
          <w:marRight w:val="300"/>
          <w:marTop w:val="0"/>
          <w:marBottom w:val="0"/>
          <w:divBdr>
            <w:top w:val="none" w:sz="0" w:space="0" w:color="auto"/>
            <w:left w:val="none" w:sz="0" w:space="0" w:color="auto"/>
            <w:bottom w:val="none" w:sz="0" w:space="0" w:color="auto"/>
            <w:right w:val="none" w:sz="0" w:space="0" w:color="auto"/>
          </w:divBdr>
          <w:divsChild>
            <w:div w:id="314769812">
              <w:marLeft w:val="0"/>
              <w:marRight w:val="0"/>
              <w:marTop w:val="0"/>
              <w:marBottom w:val="0"/>
              <w:divBdr>
                <w:top w:val="none" w:sz="0" w:space="0" w:color="auto"/>
                <w:left w:val="none" w:sz="0" w:space="0" w:color="auto"/>
                <w:bottom w:val="none" w:sz="0" w:space="0" w:color="auto"/>
                <w:right w:val="none" w:sz="0" w:space="0" w:color="auto"/>
              </w:divBdr>
              <w:divsChild>
                <w:div w:id="1703438354">
                  <w:marLeft w:val="0"/>
                  <w:marRight w:val="0"/>
                  <w:marTop w:val="0"/>
                  <w:marBottom w:val="0"/>
                  <w:divBdr>
                    <w:top w:val="none" w:sz="0" w:space="0" w:color="auto"/>
                    <w:left w:val="none" w:sz="0" w:space="0" w:color="auto"/>
                    <w:bottom w:val="none" w:sz="0" w:space="0" w:color="auto"/>
                    <w:right w:val="none" w:sz="0" w:space="0" w:color="auto"/>
                  </w:divBdr>
                  <w:divsChild>
                    <w:div w:id="11511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8684">
          <w:marLeft w:val="0"/>
          <w:marRight w:val="0"/>
          <w:marTop w:val="0"/>
          <w:marBottom w:val="0"/>
          <w:divBdr>
            <w:top w:val="none" w:sz="0" w:space="0" w:color="auto"/>
            <w:left w:val="none" w:sz="0" w:space="0" w:color="auto"/>
            <w:bottom w:val="none" w:sz="0" w:space="0" w:color="auto"/>
            <w:right w:val="none" w:sz="0" w:space="0" w:color="auto"/>
          </w:divBdr>
          <w:divsChild>
            <w:div w:id="1629777153">
              <w:marLeft w:val="0"/>
              <w:marRight w:val="0"/>
              <w:marTop w:val="0"/>
              <w:marBottom w:val="0"/>
              <w:divBdr>
                <w:top w:val="none" w:sz="0" w:space="0" w:color="auto"/>
                <w:left w:val="none" w:sz="0" w:space="0" w:color="auto"/>
                <w:bottom w:val="none" w:sz="0" w:space="0" w:color="auto"/>
                <w:right w:val="none" w:sz="0" w:space="0" w:color="auto"/>
              </w:divBdr>
              <w:divsChild>
                <w:div w:id="1004358660">
                  <w:marLeft w:val="120"/>
                  <w:marRight w:val="300"/>
                  <w:marTop w:val="0"/>
                  <w:marBottom w:val="120"/>
                  <w:divBdr>
                    <w:top w:val="none" w:sz="0" w:space="0" w:color="auto"/>
                    <w:left w:val="none" w:sz="0" w:space="0" w:color="auto"/>
                    <w:bottom w:val="none" w:sz="0" w:space="0" w:color="auto"/>
                    <w:right w:val="none" w:sz="0" w:space="0" w:color="auto"/>
                  </w:divBdr>
                  <w:divsChild>
                    <w:div w:id="235818661">
                      <w:marLeft w:val="0"/>
                      <w:marRight w:val="0"/>
                      <w:marTop w:val="0"/>
                      <w:marBottom w:val="0"/>
                      <w:divBdr>
                        <w:top w:val="none" w:sz="0" w:space="0" w:color="auto"/>
                        <w:left w:val="none" w:sz="0" w:space="0" w:color="auto"/>
                        <w:bottom w:val="none" w:sz="0" w:space="0" w:color="auto"/>
                        <w:right w:val="none" w:sz="0" w:space="0" w:color="auto"/>
                      </w:divBdr>
                      <w:divsChild>
                        <w:div w:id="1172261046">
                          <w:marLeft w:val="0"/>
                          <w:marRight w:val="0"/>
                          <w:marTop w:val="0"/>
                          <w:marBottom w:val="0"/>
                          <w:divBdr>
                            <w:top w:val="none" w:sz="0" w:space="0" w:color="auto"/>
                            <w:left w:val="none" w:sz="0" w:space="0" w:color="auto"/>
                            <w:bottom w:val="none" w:sz="0" w:space="0" w:color="auto"/>
                            <w:right w:val="none" w:sz="0" w:space="0" w:color="auto"/>
                          </w:divBdr>
                          <w:divsChild>
                            <w:div w:id="130565367">
                              <w:marLeft w:val="0"/>
                              <w:marRight w:val="120"/>
                              <w:marTop w:val="0"/>
                              <w:marBottom w:val="0"/>
                              <w:divBdr>
                                <w:top w:val="none" w:sz="0" w:space="0" w:color="auto"/>
                                <w:left w:val="none" w:sz="0" w:space="0" w:color="auto"/>
                                <w:bottom w:val="none" w:sz="0" w:space="0" w:color="auto"/>
                                <w:right w:val="none" w:sz="0" w:space="0" w:color="auto"/>
                              </w:divBdr>
                              <w:divsChild>
                                <w:div w:id="20210889">
                                  <w:marLeft w:val="0"/>
                                  <w:marRight w:val="0"/>
                                  <w:marTop w:val="0"/>
                                  <w:marBottom w:val="0"/>
                                  <w:divBdr>
                                    <w:top w:val="none" w:sz="0" w:space="0" w:color="auto"/>
                                    <w:left w:val="none" w:sz="0" w:space="0" w:color="auto"/>
                                    <w:bottom w:val="none" w:sz="0" w:space="0" w:color="auto"/>
                                    <w:right w:val="none" w:sz="0" w:space="0" w:color="auto"/>
                                  </w:divBdr>
                                  <w:divsChild>
                                    <w:div w:id="1110007971">
                                      <w:marLeft w:val="0"/>
                                      <w:marRight w:val="0"/>
                                      <w:marTop w:val="0"/>
                                      <w:marBottom w:val="0"/>
                                      <w:divBdr>
                                        <w:top w:val="none" w:sz="0" w:space="0" w:color="auto"/>
                                        <w:left w:val="none" w:sz="0" w:space="0" w:color="auto"/>
                                        <w:bottom w:val="none" w:sz="0" w:space="0" w:color="auto"/>
                                        <w:right w:val="none" w:sz="0" w:space="0" w:color="auto"/>
                                      </w:divBdr>
                                      <w:divsChild>
                                        <w:div w:id="18583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4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2020-05-22T06:34:00Z</dcterms:created>
  <dcterms:modified xsi:type="dcterms:W3CDTF">2020-05-22T06:36:00Z</dcterms:modified>
</cp:coreProperties>
</file>